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082e52cf2c58766ff8d6da6dcb46523b2b2b3"/>
    <w:p>
      <w:pPr>
        <w:pStyle w:val="Heading3"/>
      </w:pPr>
      <w:r>
        <w:t xml:space="preserve">Пени в сфере ЖКХ: правительство снова ввело послабление для плательщиков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До 1 января 2027 года при начислении и уплате пеней и неустоек нужно исходить из более низкой ключевой ставки: 9,5% или той, которая действует на день оплаты. Правило распространили на жилищные отношения, которые возникли с начала 2025 года.</w:t>
      </w:r>
    </w:p>
    <w:p>
      <w:pPr>
        <w:pStyle w:val="BodyText"/>
      </w:pPr>
      <w:r>
        <w:t xml:space="preserve">Речь идет о начислении и уплате:</w:t>
      </w:r>
    </w:p>
    <w:p>
      <w:pPr>
        <w:pStyle w:val="BodyText"/>
      </w:pPr>
      <w:r>
        <w:t xml:space="preserve">- пеней, если за жилье и коммунальные услуги заплатили не в срок или не полностью. То же касается взносов на капремонт;</w:t>
      </w:r>
    </w:p>
    <w:p>
      <w:pPr>
        <w:pStyle w:val="BodyText"/>
      </w:pPr>
      <w:r>
        <w:t xml:space="preserve">- неустойки за то, что юрлица и ИП не вовремя или не полностью заплатили за снабжение электроэнергией, водой, теплом и т.п.</w:t>
      </w:r>
    </w:p>
    <w:p>
      <w:pPr>
        <w:pStyle w:val="BodyText"/>
      </w:pPr>
      <w:r>
        <w:t xml:space="preserve">19 марта вступили в силу и другие положения.</w:t>
      </w:r>
    </w:p>
    <w:p>
      <w:pPr>
        <w:pStyle w:val="BodyText"/>
      </w:pPr>
      <w:r>
        <w:t xml:space="preserve">Напомним, сейчас ставка - 21%.</w:t>
      </w:r>
    </w:p>
    <w:p>
      <w:pPr>
        <w:pStyle w:val="BodyText"/>
      </w:pPr>
      <w:r>
        <w:t xml:space="preserve">Аналогичные антикризисные меры действовали до 1 января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http://savelovskiy.mos.ru/security/prokyratura/detail/13013084.html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security/prokyratura/detail/13013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security/prokyratura/detail/13013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2025-08-05T14:14:30Z</dcterms:created>
  <dcterms:modified xsi:type="dcterms:W3CDTF">2025-08-05T14:14:30Z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