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ddff341db909f1d2f6c8ce21651cb52aadf27"/>
    <w:p>
      <w:pPr>
        <w:pStyle w:val="Heading3"/>
      </w:pPr>
      <w:r>
        <w:t xml:space="preserve">Адресный перечень нестационарных торговых объектов при стационарных торговых объектах на территории САО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hyperlink r:id="rId20">
        <w:r>
          <w:rPr>
            <w:rStyle w:val="Hyperlink"/>
          </w:rPr>
          <w:t xml:space="preserve">Адресный перечень нестационарных торговых объектов при стационарных торговых объектах на территории САО ⠀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http://savelovskiy.mos.ru/ekonomika-i-potrebitelskiy-rynok/potrebitelskiy-rynok/informatsiya/detail/13114948.html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3114948.html" TargetMode="External" /><Relationship Type="http://schemas.openxmlformats.org/officeDocument/2006/relationships/hyperlink" Id="rId20" Target="https://sokol.mos.ru/d_2715530211-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3114948.html" TargetMode="External" /><Relationship Type="http://schemas.openxmlformats.org/officeDocument/2006/relationships/hyperlink" Id="rId20" Target="https://sokol.mos.ru/d_2715530211-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2025-07-25T00:35:03Z</dcterms:created>
  <dcterms:modified xsi:type="dcterms:W3CDTF">2025-07-25T00:35:03Z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