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af5c885f431c9fa21c8540d4da937bf80a042"/>
    <w:p>
      <w:pPr>
        <w:pStyle w:val="Heading3"/>
      </w:pPr>
      <w:r>
        <w:t xml:space="preserve">Схема размещения сезонных (летних) кафе при стациративного онарных предприятиях общественного питания на территории Северного административного округа города Москвы от 21.04.2015 №217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rPr>
          <w:bCs/>
          <w:b/>
        </w:rPr>
        <w:t xml:space="preserve">Схема размещения сезонных (летних) кафе при стационарных предприятиях общественного</w:t>
      </w:r>
    </w:p>
    <w:p>
      <w:pPr>
        <w:pStyle w:val="BodyText"/>
      </w:pPr>
      <w:r>
        <w:rPr>
          <w:bCs/>
          <w:b/>
        </w:rPr>
        <w:t xml:space="preserve">питания на территории Северного административного округа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http://savelovskiy.mos.ru/ekonomika-i-potrebitelskiy-rynok/potrebitelskiy-rynok/informatsiya/detail/13010804.html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ekonomika-i-potrebitelskiy-rynok/potrebitelskiy-rynok/informatsiya/detail/13010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ekonomika-i-potrebitelskiy-rynok/potrebitelskiy-rynok/informatsiya/detail/13010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2025-07-12T06:05:28Z</dcterms:created>
  <dcterms:modified xsi:type="dcterms:W3CDTF">2025-07-12T06:05:28Z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