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cc3f36b5eaac78282d9785c303ac3f00996f1"/>
    <w:p>
      <w:pPr>
        <w:pStyle w:val="Heading3"/>
      </w:pPr>
      <w:r>
        <w:t xml:space="preserve">Схема размещения сезонных (летних) кафе при стационарных предприятиях общественного питания на территории Северного административного округа города Москвы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размещения летних кафе в САО (Распоряжение префекта САО от 21.05.2025 № 413)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http://savelovskiy.mos.ru/ekonomika-i-potrebitelskiy-rynok/potrebitelskiy-rynok/informatsiya/detail/12981202.html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2981202.html" TargetMode="External" /><Relationship Type="http://schemas.openxmlformats.org/officeDocument/2006/relationships/hyperlink" Id="rId20" Target="https://begovoy.mos.ru/%D0%9F%D0%BE%D1%82%D1%80%D0%B5%D0%B1.%20%D1%80%D1%8B%D0%BD%D0%BE%D0%B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2981202.html" TargetMode="External" /><Relationship Type="http://schemas.openxmlformats.org/officeDocument/2006/relationships/hyperlink" Id="rId20" Target="https://begovoy.mos.ru/%D0%9F%D0%BE%D1%82%D1%80%D0%B5%D0%B1.%20%D1%80%D1%8B%D0%BD%D0%BE%D0%B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2025-05-21T13:02:40Z</dcterms:created>
  <dcterms:modified xsi:type="dcterms:W3CDTF">2025-05-21T13:02:40Z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