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e9f3285e1a19c0f55353898c940c6e7de080b"/>
    <w:p>
      <w:pPr>
        <w:pStyle w:val="Heading3"/>
      </w:pPr>
      <w:r>
        <w:t xml:space="preserve">Схемы размещения нестационарных объектов вида "Постамат" на территории Северного административного округа города Москвы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http://savelovskiy.mos.ru/ekonomika-i-potrebitelskiy-rynok/potrebitelskiy-rynok/informatsiya/detail/12946709.html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ekonomika-i-potrebitelskiy-rynok/potrebitelskiy-rynok/informatsiya/detail/12946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ekonomika-i-potrebitelskiy-rynok/potrebitelskiy-rynok/informatsiya/detail/12946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2025-08-05T15:54:52Z</dcterms:created>
  <dcterms:modified xsi:type="dcterms:W3CDTF">2025-08-05T15:54:52Z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